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D2A9" w14:textId="77777777" w:rsidR="00960D62" w:rsidRDefault="00960D62" w:rsidP="00960D62">
      <w:pPr>
        <w:ind w:firstLine="567"/>
      </w:pPr>
    </w:p>
    <w:p w14:paraId="099B47A8" w14:textId="77777777" w:rsidR="00960D62" w:rsidRDefault="00960D62" w:rsidP="00960D62">
      <w:pPr>
        <w:ind w:firstLine="567"/>
      </w:pPr>
    </w:p>
    <w:p w14:paraId="125B029B" w14:textId="77777777" w:rsidR="00821236" w:rsidRDefault="00821236" w:rsidP="00821236"/>
    <w:p w14:paraId="487FBBDD" w14:textId="77777777" w:rsidR="00821236" w:rsidRPr="00821236" w:rsidRDefault="00821236" w:rsidP="00821236">
      <w:pPr>
        <w:rPr>
          <w:b/>
          <w:bCs/>
        </w:rPr>
      </w:pPr>
      <w:r w:rsidRPr="00821236">
        <w:rPr>
          <w:b/>
          <w:bCs/>
        </w:rPr>
        <w:t xml:space="preserve">TERMINI E CONDIZIONI HISWA RECRON per </w:t>
      </w:r>
      <w:proofErr w:type="spellStart"/>
      <w:r w:rsidRPr="00821236">
        <w:rPr>
          <w:b/>
          <w:bCs/>
        </w:rPr>
        <w:t>gli</w:t>
      </w:r>
      <w:proofErr w:type="spellEnd"/>
      <w:r w:rsidRPr="00821236">
        <w:rPr>
          <w:b/>
          <w:bCs/>
        </w:rPr>
        <w:t xml:space="preserve"> </w:t>
      </w:r>
      <w:proofErr w:type="spellStart"/>
      <w:r w:rsidRPr="00821236">
        <w:rPr>
          <w:b/>
          <w:bCs/>
        </w:rPr>
        <w:t>alloggi</w:t>
      </w:r>
      <w:proofErr w:type="spellEnd"/>
      <w:r w:rsidRPr="00821236">
        <w:rPr>
          <w:b/>
          <w:bCs/>
        </w:rPr>
        <w:t xml:space="preserve"> per </w:t>
      </w:r>
      <w:proofErr w:type="spellStart"/>
      <w:r w:rsidRPr="00821236">
        <w:rPr>
          <w:b/>
          <w:bCs/>
        </w:rPr>
        <w:t>vacanze</w:t>
      </w:r>
      <w:proofErr w:type="spellEnd"/>
    </w:p>
    <w:p w14:paraId="0E9C8964" w14:textId="23C0F4DE" w:rsidR="00821236" w:rsidRDefault="00821236" w:rsidP="00821236">
      <w:r>
        <w:t xml:space="preserve">I </w:t>
      </w:r>
      <w:proofErr w:type="spellStart"/>
      <w:r>
        <w:t>presenti</w:t>
      </w:r>
      <w:proofErr w:type="spellEnd"/>
      <w:r>
        <w:t xml:space="preserve"> Termini e </w:t>
      </w:r>
      <w:proofErr w:type="spellStart"/>
      <w:r>
        <w:t>Condizioni</w:t>
      </w:r>
      <w:proofErr w:type="spellEnd"/>
      <w:r>
        <w:t xml:space="preserve"> HISWA RECRON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redatti</w:t>
      </w:r>
      <w:proofErr w:type="spellEnd"/>
      <w:r>
        <w:t xml:space="preserve"> in </w:t>
      </w:r>
      <w:proofErr w:type="spellStart"/>
      <w:r>
        <w:t>consultazione</w:t>
      </w:r>
      <w:proofErr w:type="spellEnd"/>
      <w:r>
        <w:t xml:space="preserve"> con </w:t>
      </w:r>
      <w:proofErr w:type="spellStart"/>
      <w:r>
        <w:t>l'Associazione</w:t>
      </w:r>
      <w:proofErr w:type="spellEnd"/>
      <w:r>
        <w:t xml:space="preserve"> dei </w:t>
      </w:r>
      <w:proofErr w:type="spellStart"/>
      <w:r>
        <w:t>Consumatori</w:t>
      </w:r>
      <w:proofErr w:type="spellEnd"/>
      <w:r>
        <w:t xml:space="preserve"> e </w:t>
      </w:r>
      <w:proofErr w:type="spellStart"/>
      <w:r>
        <w:t>l'ANWB</w:t>
      </w:r>
      <w:proofErr w:type="spellEnd"/>
      <w:r>
        <w:t xml:space="preserve"> </w:t>
      </w:r>
      <w:proofErr w:type="spellStart"/>
      <w:r>
        <w:t>nell'ambito</w:t>
      </w:r>
      <w:proofErr w:type="spellEnd"/>
      <w:r>
        <w:t xml:space="preserve"> del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Coordinamento</w:t>
      </w:r>
      <w:proofErr w:type="spellEnd"/>
      <w:r>
        <w:t xml:space="preserve"> </w:t>
      </w:r>
      <w:proofErr w:type="spellStart"/>
      <w:r>
        <w:t>dell'Autoregolamentazione</w:t>
      </w:r>
      <w:proofErr w:type="spellEnd"/>
      <w:r>
        <w:t xml:space="preserve"> (CZ) del </w:t>
      </w:r>
      <w:proofErr w:type="spellStart"/>
      <w:r>
        <w:t>Sociaal-Economische</w:t>
      </w:r>
      <w:proofErr w:type="spellEnd"/>
      <w:r>
        <w:t xml:space="preserve"> Raad (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-Sociale) 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entrati</w:t>
      </w:r>
      <w:proofErr w:type="spellEnd"/>
      <w:r>
        <w:t xml:space="preserve"> in </w:t>
      </w:r>
      <w:proofErr w:type="spellStart"/>
      <w:r>
        <w:t>vigore</w:t>
      </w:r>
      <w:proofErr w:type="spellEnd"/>
    </w:p>
    <w:p w14:paraId="58FC119F" w14:textId="77777777" w:rsidR="00960D62" w:rsidRDefault="00960D62" w:rsidP="00960D62">
      <w:pPr>
        <w:rPr>
          <w:sz w:val="18"/>
          <w:szCs w:val="18"/>
        </w:rPr>
        <w:sectPr w:rsidR="00960D62" w:rsidSect="00C80A55">
          <w:pgSz w:w="11906" w:h="16838"/>
          <w:pgMar w:top="720" w:right="720" w:bottom="720" w:left="340" w:header="708" w:footer="708" w:gutter="0"/>
          <w:cols w:space="708"/>
          <w:docGrid w:linePitch="360"/>
        </w:sectPr>
      </w:pPr>
    </w:p>
    <w:p w14:paraId="59901D3E" w14:textId="77777777" w:rsidR="00814E79" w:rsidRPr="00A41584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bCs/>
          <w:sz w:val="16"/>
          <w:szCs w:val="16"/>
        </w:rPr>
      </w:pPr>
    </w:p>
    <w:p w14:paraId="08BEC126" w14:textId="77777777" w:rsidR="00814E79" w:rsidRPr="00A41584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A41584">
        <w:rPr>
          <w:rFonts w:ascii="TradeGothicLTStd-Bd2" w:hAnsi="TradeGothicLTStd-Bd2" w:cs="TradeGothicLTStd-Bd2"/>
          <w:b/>
          <w:bCs/>
          <w:sz w:val="16"/>
          <w:szCs w:val="16"/>
        </w:rPr>
        <w:t>Articolo</w:t>
      </w:r>
      <w:proofErr w:type="spellEnd"/>
      <w:r w:rsidRPr="00A41584">
        <w:rPr>
          <w:rFonts w:ascii="TradeGothicLTStd-Bd2" w:hAnsi="TradeGothicLTStd-Bd2" w:cs="TradeGothicLTStd-Bd2"/>
          <w:b/>
          <w:bCs/>
          <w:sz w:val="16"/>
          <w:szCs w:val="16"/>
        </w:rPr>
        <w:t xml:space="preserve"> 1: </w:t>
      </w:r>
      <w:proofErr w:type="spellStart"/>
      <w:r w:rsidRPr="00A41584">
        <w:rPr>
          <w:rFonts w:ascii="TradeGothicLTStd-Bd2" w:hAnsi="TradeGothicLTStd-Bd2" w:cs="TradeGothicLTStd-Bd2"/>
          <w:b/>
          <w:bCs/>
          <w:sz w:val="16"/>
          <w:szCs w:val="16"/>
        </w:rPr>
        <w:t>Definizioni</w:t>
      </w:r>
      <w:proofErr w:type="spellEnd"/>
    </w:p>
    <w:p w14:paraId="19047851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Nelle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presenti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condizioni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si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applicano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seguenti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definizioni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>:</w:t>
      </w:r>
    </w:p>
    <w:p w14:paraId="5B888707" w14:textId="77777777" w:rsidR="00814E79" w:rsidRPr="00814E79" w:rsidRDefault="00814E79" w:rsidP="00A41584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a.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residenza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tenda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, camper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pieghevole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, camper,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roulotte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(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fissa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), bungalow,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casa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estiva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rifugio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escursionisti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e simili;</w:t>
      </w:r>
    </w:p>
    <w:p w14:paraId="1FB0FBF3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b.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imprenditore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l'azienda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l'ente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l'associazione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mette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disposizione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residenza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>;</w:t>
      </w:r>
    </w:p>
    <w:p w14:paraId="63BE5C09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c.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la persona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stipula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contratto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relativo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alla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residenza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con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>;</w:t>
      </w:r>
    </w:p>
    <w:p w14:paraId="18DDBF68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d.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comproprietario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la persona o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persone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indicate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anche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nel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contratto</w:t>
      </w:r>
      <w:proofErr w:type="spellEnd"/>
    </w:p>
    <w:p w14:paraId="0E04AF1C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e.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terzo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qualsiasi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altra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persona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non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sia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vacanziere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e/o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suo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compagno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vacanza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; </w:t>
      </w:r>
    </w:p>
    <w:p w14:paraId="64BE6CBB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f.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prezzo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concordato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compenso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viene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corrisposto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l'utilizzo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residenza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; in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questo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deve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essere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indicato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tramite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listino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prezzi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ciò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non è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incluso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nel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prezzo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</w:p>
    <w:p w14:paraId="785E3E89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g.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costi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tutti i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costi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relativi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alla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gestione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residenza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>;</w:t>
      </w:r>
    </w:p>
    <w:p w14:paraId="52921098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h.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informazioni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informazioni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scritte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>/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elettroniche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sull'uso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residenza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sulle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strutture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e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sulle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regole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soggiorno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>;</w:t>
      </w:r>
    </w:p>
    <w:p w14:paraId="489376C1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i.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comitato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controversie: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comitato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controversie in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materia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ricreazione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a </w:t>
      </w:r>
    </w:p>
    <w:p w14:paraId="5C3F944A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L'Aia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composto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da ANWB/Consumentenbond/HISWA RECRON;</w:t>
      </w:r>
    </w:p>
    <w:p w14:paraId="0E28D458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j.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cancellazione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la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risoluzione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scritta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contratto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parte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prima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data di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inizio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soggiorno</w:t>
      </w:r>
      <w:proofErr w:type="spellEnd"/>
    </w:p>
    <w:p w14:paraId="4F66F84E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814E79">
        <w:rPr>
          <w:rFonts w:ascii="TradeGothicLTStd-Bd2" w:hAnsi="TradeGothicLTStd-Bd2" w:cs="TradeGothicLTStd-Bd2"/>
          <w:sz w:val="16"/>
          <w:szCs w:val="16"/>
        </w:rPr>
        <w:t xml:space="preserve">k.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controversia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quando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reclamo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presentato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all'imprenditore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dal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non è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stato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risolto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modo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soddisfacente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sz w:val="16"/>
          <w:szCs w:val="16"/>
        </w:rPr>
        <w:t>parti</w:t>
      </w:r>
      <w:proofErr w:type="spellEnd"/>
      <w:r w:rsidRPr="00814E79">
        <w:rPr>
          <w:rFonts w:ascii="TradeGothicLTStd-Bd2" w:hAnsi="TradeGothicLTStd-Bd2" w:cs="TradeGothicLTStd-Bd2"/>
          <w:sz w:val="16"/>
          <w:szCs w:val="16"/>
        </w:rPr>
        <w:t>.</w:t>
      </w:r>
    </w:p>
    <w:p w14:paraId="3C5094FD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54D7F084" w14:textId="77777777" w:rsidR="00960D62" w:rsidRPr="003F56F2" w:rsidRDefault="00960D62" w:rsidP="00960D62">
      <w:pPr>
        <w:autoSpaceDE w:val="0"/>
        <w:autoSpaceDN w:val="0"/>
        <w:adjustRightInd w:val="0"/>
        <w:spacing w:after="0" w:line="240" w:lineRule="auto"/>
        <w:rPr>
          <w:rFonts w:ascii="Arial Narrow" w:hAnsi="Arial Narrow" w:cs="TradeGothicLTStd-Bd2"/>
          <w:sz w:val="16"/>
          <w:szCs w:val="16"/>
        </w:rPr>
      </w:pPr>
    </w:p>
    <w:p w14:paraId="0137FBFE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Articolo</w:t>
      </w:r>
      <w:proofErr w:type="spellEnd"/>
      <w:r w:rsidRPr="00814E79">
        <w:rPr>
          <w:rFonts w:ascii="TradeGothicLTStd-Bd2" w:hAnsi="TradeGothicLTStd-Bd2" w:cs="TradeGothicLTStd-Bd2"/>
          <w:b/>
          <w:sz w:val="16"/>
          <w:szCs w:val="16"/>
        </w:rPr>
        <w:t xml:space="preserve"> 2: </w:t>
      </w: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Contenuto</w:t>
      </w:r>
      <w:proofErr w:type="spellEnd"/>
      <w:r w:rsidRPr="00814E79">
        <w:rPr>
          <w:rFonts w:ascii="TradeGothicLTStd-Bd2" w:hAnsi="TradeGothicLTStd-Bd2" w:cs="TradeGothicLTStd-Bd2"/>
          <w:b/>
          <w:sz w:val="16"/>
          <w:szCs w:val="16"/>
        </w:rPr>
        <w:t xml:space="preserve"> </w:t>
      </w: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dell'accordo</w:t>
      </w:r>
      <w:proofErr w:type="spellEnd"/>
    </w:p>
    <w:p w14:paraId="5BCAECE7" w14:textId="77777777" w:rsidR="00814E79" w:rsidRPr="00E36F72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1.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mette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disposizione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scopo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ricreativo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quindi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non per la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residenza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permanente,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un'abitazione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vacanze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tipo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tipologia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per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periodo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prezzo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2EF4B83" w14:textId="77777777" w:rsidR="00814E79" w:rsidRPr="00E36F72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è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tenuto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fornire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anticipo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informazioni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scritte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sulla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base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quali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viene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parzialmente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concluso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presente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dovrà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sempre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informare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tempestivamente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iscritto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eventuali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modifiche.</w:t>
      </w:r>
    </w:p>
    <w:p w14:paraId="0130AD9F" w14:textId="77777777" w:rsidR="00814E79" w:rsidRPr="00E36F72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3.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Nel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informazioni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si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discostino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notevolmente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quelle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fornite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momento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stipula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ha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diritto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recedere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dal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senza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alcun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costo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</w:p>
    <w:p w14:paraId="438155BF" w14:textId="77777777" w:rsidR="00814E79" w:rsidRPr="00E36F72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4.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è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tenuto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rispettare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informazioni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esso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contenute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Egli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deve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fare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modo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che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compagni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vacanza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e/o 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terzi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che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lo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visitano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e/o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soggiornano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presso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lui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rispettino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informazioni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esso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contenute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53C367F0" w14:textId="77777777" w:rsidR="00814E79" w:rsidRPr="00E36F72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5.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Nel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disposizioni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e/o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informazioni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allegate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siano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contrasto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con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condizioni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HISWA RECRON, si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applicano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condizioni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HISWA RECRON.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Ciò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non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pregiudica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fatto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che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possano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stipulare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accordi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supplementari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individuali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tali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condizioni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vengono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derogate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favore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0A77488B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</w:p>
    <w:p w14:paraId="21370BFB" w14:textId="77777777" w:rsidR="00960D62" w:rsidRPr="002D78C1" w:rsidRDefault="00960D62" w:rsidP="00960D62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0C61E917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Articolo</w:t>
      </w:r>
      <w:proofErr w:type="spellEnd"/>
      <w:r w:rsidRPr="00814E79">
        <w:rPr>
          <w:rFonts w:ascii="TradeGothicLTStd-Bd2" w:hAnsi="TradeGothicLTStd-Bd2" w:cs="TradeGothicLTStd-Bd2"/>
          <w:b/>
          <w:sz w:val="16"/>
          <w:szCs w:val="16"/>
        </w:rPr>
        <w:t xml:space="preserve"> 3: </w:t>
      </w: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Durata</w:t>
      </w:r>
      <w:proofErr w:type="spellEnd"/>
      <w:r w:rsidRPr="00814E79">
        <w:rPr>
          <w:rFonts w:ascii="TradeGothicLTStd-Bd2" w:hAnsi="TradeGothicLTStd-Bd2" w:cs="TradeGothicLTStd-Bd2"/>
          <w:b/>
          <w:sz w:val="16"/>
          <w:szCs w:val="16"/>
        </w:rPr>
        <w:t xml:space="preserve"> e </w:t>
      </w: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scadenza</w:t>
      </w:r>
      <w:proofErr w:type="spellEnd"/>
      <w:r w:rsidRPr="00814E79">
        <w:rPr>
          <w:rFonts w:ascii="TradeGothicLTStd-Bd2" w:hAnsi="TradeGothicLTStd-Bd2" w:cs="TradeGothicLTStd-Bd2"/>
          <w:b/>
          <w:sz w:val="16"/>
          <w:szCs w:val="16"/>
        </w:rPr>
        <w:t xml:space="preserve"> del </w:t>
      </w: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contratto</w:t>
      </w:r>
      <w:proofErr w:type="spellEnd"/>
    </w:p>
    <w:p w14:paraId="2337D566" w14:textId="77777777" w:rsidR="00814E79" w:rsidRPr="00E36F72" w:rsidRDefault="00814E79" w:rsidP="00814E7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termina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legge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dopo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scadenza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periodo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senza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necessità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preavviso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30026CD1" w14:textId="77777777" w:rsidR="00814E79" w:rsidRPr="00814E79" w:rsidRDefault="00814E79" w:rsidP="00814E7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3657EE6C" w14:textId="267F9E55" w:rsidR="002551CA" w:rsidRPr="002551CA" w:rsidRDefault="00814E79" w:rsidP="0019107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Articolo</w:t>
      </w:r>
      <w:proofErr w:type="spellEnd"/>
      <w:r w:rsidRPr="00814E79">
        <w:rPr>
          <w:rFonts w:ascii="TradeGothicLTStd-Bd2" w:hAnsi="TradeGothicLTStd-Bd2" w:cs="TradeGothicLTStd-Bd2"/>
          <w:b/>
          <w:sz w:val="16"/>
          <w:szCs w:val="16"/>
        </w:rPr>
        <w:t xml:space="preserve"> 4: </w:t>
      </w: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Prezzo</w:t>
      </w:r>
      <w:proofErr w:type="spellEnd"/>
      <w:r w:rsidRPr="00814E79">
        <w:rPr>
          <w:rFonts w:ascii="TradeGothicLTStd-Bd2" w:hAnsi="TradeGothicLTStd-Bd2" w:cs="TradeGothicLTStd-Bd2"/>
          <w:b/>
          <w:sz w:val="16"/>
          <w:szCs w:val="16"/>
        </w:rPr>
        <w:t xml:space="preserve"> e </w:t>
      </w: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modifica</w:t>
      </w:r>
      <w:proofErr w:type="spellEnd"/>
      <w:r w:rsidRPr="00814E79">
        <w:rPr>
          <w:rFonts w:ascii="TradeGothicLTStd-Bd2" w:hAnsi="TradeGothicLTStd-Bd2" w:cs="TradeGothicLTStd-Bd2"/>
          <w:b/>
          <w:sz w:val="16"/>
          <w:szCs w:val="16"/>
        </w:rPr>
        <w:t xml:space="preserve"> del </w:t>
      </w:r>
      <w:proofErr w:type="spellStart"/>
      <w:r w:rsidRPr="00814E79">
        <w:rPr>
          <w:rFonts w:ascii="TradeGothicLTStd-Bd2" w:hAnsi="TradeGothicLTStd-Bd2" w:cs="TradeGothicLTStd-Bd2"/>
          <w:b/>
          <w:sz w:val="16"/>
          <w:szCs w:val="16"/>
        </w:rPr>
        <w:t>prezzo</w:t>
      </w:r>
      <w:proofErr w:type="spellEnd"/>
    </w:p>
    <w:p w14:paraId="66626525" w14:textId="77777777" w:rsidR="002551CA" w:rsidRPr="00E36F72" w:rsidRDefault="002551CA" w:rsidP="002551CA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1.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prezzo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viene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sulla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base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tariffe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vigore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momento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stabilite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dall'imprenditore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67CF3A52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</w:p>
    <w:p w14:paraId="13FD3BA0" w14:textId="77777777" w:rsidR="002551CA" w:rsidRPr="00E36F72" w:rsidRDefault="002551CA" w:rsidP="002551CA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</w:p>
    <w:p w14:paraId="74E528D0" w14:textId="77777777" w:rsidR="002551CA" w:rsidRPr="00E36F72" w:rsidRDefault="002551CA" w:rsidP="002551CA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Nel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dopo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determinazione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prezzo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causa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aumento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tariffe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parte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si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verifichino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costi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aggiuntivi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conseguenza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modifica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tariffe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e/o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imposte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che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riguardano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direttamente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residenza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vacanza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questi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possono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essere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trasferiti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anche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dopo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conclusione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65B9C8A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</w:p>
    <w:p w14:paraId="5EE8E4DD" w14:textId="77777777" w:rsidR="00960D62" w:rsidRDefault="00960D62" w:rsidP="00960D62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49E345FE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2551CA">
        <w:rPr>
          <w:rFonts w:ascii="TradeGothicLTStd-Bd2" w:hAnsi="TradeGothicLTStd-Bd2" w:cs="TradeGothicLTStd-Bd2"/>
          <w:b/>
          <w:sz w:val="16"/>
          <w:szCs w:val="16"/>
        </w:rPr>
        <w:t>Articolo</w:t>
      </w:r>
      <w:proofErr w:type="spellEnd"/>
      <w:r w:rsidRPr="002551CA">
        <w:rPr>
          <w:rFonts w:ascii="TradeGothicLTStd-Bd2" w:hAnsi="TradeGothicLTStd-Bd2" w:cs="TradeGothicLTStd-Bd2"/>
          <w:b/>
          <w:sz w:val="16"/>
          <w:szCs w:val="16"/>
        </w:rPr>
        <w:t xml:space="preserve"> 5: </w:t>
      </w:r>
      <w:proofErr w:type="spellStart"/>
      <w:r w:rsidRPr="002551CA">
        <w:rPr>
          <w:rFonts w:ascii="TradeGothicLTStd-Bd2" w:hAnsi="TradeGothicLTStd-Bd2" w:cs="TradeGothicLTStd-Bd2"/>
          <w:b/>
          <w:sz w:val="16"/>
          <w:szCs w:val="16"/>
        </w:rPr>
        <w:t>Pagamento</w:t>
      </w:r>
      <w:proofErr w:type="spellEnd"/>
    </w:p>
    <w:p w14:paraId="2F010275" w14:textId="77777777" w:rsidR="002551CA" w:rsidRPr="00E36F72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1.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deve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effettuare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pagamenti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euro, se non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diversamente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tenendo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conto dei termini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54C80C88" w14:textId="77777777" w:rsidR="002551CA" w:rsidRPr="00E36F72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Nel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nonostante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preventiva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richiesta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scritta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pagamento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non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adempia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o non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adempia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adeguatamente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suo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obbligo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pagamento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entro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periodo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due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settimane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dalla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richiesta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scritta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avrà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diritto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annullare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con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effetto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immediato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fermo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restando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diritto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richiedere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pagamento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completo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prezzo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995A8EE" w14:textId="77777777" w:rsidR="002551CA" w:rsidRPr="00E36F72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3.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Se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giorno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dell'arrivo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non è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possesso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dell'importo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totale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dovuto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ha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diritto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negare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l'accesso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alla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residenza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vacanza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nonostante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diritto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dell'imprenditore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richiedere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pagamento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completo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prezzo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concordato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D7E7F0A" w14:textId="77777777" w:rsidR="002551CA" w:rsidRPr="00E36F72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36F72">
        <w:rPr>
          <w:rFonts w:ascii="TradeGothicLTStd-Bd2" w:hAnsi="TradeGothicLTStd-Bd2" w:cs="TradeGothicLTStd-Bd2"/>
          <w:bCs/>
          <w:sz w:val="16"/>
          <w:szCs w:val="16"/>
        </w:rPr>
        <w:t>4.</w:t>
      </w:r>
      <w:r w:rsidRPr="00E36F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Le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spese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extragiudiziali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ragionevolmente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sostenute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dall'imprenditore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dopo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aver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notificato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l'inadempienza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sono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carico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. Nel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l'importo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totale non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sia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stato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pagato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in tempo,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dopo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convocazione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scritta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verrà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applicato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tasso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di interesse legale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sull'importo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 xml:space="preserve"> non </w:t>
      </w:r>
      <w:proofErr w:type="spellStart"/>
      <w:r w:rsidRPr="00E36F72">
        <w:rPr>
          <w:rFonts w:ascii="TradeGothicLTStd-Bd2" w:hAnsi="TradeGothicLTStd-Bd2" w:cs="TradeGothicLTStd-Bd2"/>
          <w:bCs/>
          <w:sz w:val="16"/>
          <w:szCs w:val="16"/>
        </w:rPr>
        <w:t>pagato</w:t>
      </w:r>
      <w:proofErr w:type="spellEnd"/>
      <w:r w:rsidRPr="00E36F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8DC6E8A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560D0AE7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4D68200D" w14:textId="77777777" w:rsidR="002551CA" w:rsidRPr="00E36F72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Articolo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6: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Cancellazione</w:t>
      </w:r>
      <w:proofErr w:type="spellEnd"/>
    </w:p>
    <w:p w14:paraId="2EA26E49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2551CA">
        <w:rPr>
          <w:rFonts w:ascii="TradeGothicLTStd-Bd2" w:hAnsi="TradeGothicLTStd-Bd2" w:cs="TradeGothicLTStd-Bd2"/>
          <w:sz w:val="16"/>
          <w:szCs w:val="16"/>
        </w:rPr>
        <w:t>1.</w:t>
      </w:r>
      <w:r w:rsidRPr="002551CA">
        <w:rPr>
          <w:rFonts w:ascii="TradeGothicLTStd-Bd2" w:hAnsi="TradeGothicLTStd-Bd2" w:cs="TradeGothicLTStd-Bd2"/>
          <w:sz w:val="16"/>
          <w:szCs w:val="16"/>
        </w:rPr>
        <w:tab/>
        <w:t xml:space="preserve">In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annullamento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tenuto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versare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indennizzo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all'imprenditore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.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Tale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risarcimento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ammonta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a:</w:t>
      </w:r>
    </w:p>
    <w:p w14:paraId="286DBF03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2551CA">
        <w:rPr>
          <w:rFonts w:ascii="TradeGothicLTStd-Bd2" w:hAnsi="TradeGothicLTStd-Bd2" w:cs="TradeGothicLTStd-Bd2"/>
          <w:sz w:val="16"/>
          <w:szCs w:val="16"/>
        </w:rPr>
        <w:t xml:space="preserve">- in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cancellazione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più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tre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mesi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prima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data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inizio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15% del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prezzo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concordato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>;</w:t>
      </w:r>
    </w:p>
    <w:p w14:paraId="15459D6D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2551CA">
        <w:rPr>
          <w:rFonts w:ascii="TradeGothicLTStd-Bd2" w:hAnsi="TradeGothicLTStd-Bd2" w:cs="TradeGothicLTStd-Bd2"/>
          <w:sz w:val="16"/>
          <w:szCs w:val="16"/>
        </w:rPr>
        <w:t xml:space="preserve">- in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cancellazione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entro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tre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due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mesi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prima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data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inizio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50% del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prezzo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concordato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>;</w:t>
      </w:r>
    </w:p>
    <w:p w14:paraId="2AB50F14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2551CA">
        <w:rPr>
          <w:rFonts w:ascii="TradeGothicLTStd-Bd2" w:hAnsi="TradeGothicLTStd-Bd2" w:cs="TradeGothicLTStd-Bd2"/>
          <w:sz w:val="16"/>
          <w:szCs w:val="16"/>
        </w:rPr>
        <w:t xml:space="preserve">- in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cancellazione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entro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due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mese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prima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data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inizio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75% del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prezzo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concordato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>;</w:t>
      </w:r>
    </w:p>
    <w:p w14:paraId="7F1039BE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2551CA">
        <w:rPr>
          <w:rFonts w:ascii="TradeGothicLTStd-Bd2" w:hAnsi="TradeGothicLTStd-Bd2" w:cs="TradeGothicLTStd-Bd2"/>
          <w:sz w:val="16"/>
          <w:szCs w:val="16"/>
        </w:rPr>
        <w:t xml:space="preserve">- in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cancellazione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entro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mese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prima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data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inizio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90% del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prezzo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concordato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>;</w:t>
      </w:r>
    </w:p>
    <w:p w14:paraId="2C84392B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2551CA">
        <w:rPr>
          <w:rFonts w:ascii="TradeGothicLTStd-Bd2" w:hAnsi="TradeGothicLTStd-Bd2" w:cs="TradeGothicLTStd-Bd2"/>
          <w:sz w:val="16"/>
          <w:szCs w:val="16"/>
        </w:rPr>
        <w:t xml:space="preserve">- in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cancellazione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giorno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della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data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inizio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100% del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prezzo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concordato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>.</w:t>
      </w:r>
    </w:p>
    <w:p w14:paraId="6791E5EF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2551CA">
        <w:rPr>
          <w:rFonts w:ascii="TradeGothicLTStd-Bd2" w:hAnsi="TradeGothicLTStd-Bd2" w:cs="TradeGothicLTStd-Bd2"/>
          <w:sz w:val="16"/>
          <w:szCs w:val="16"/>
        </w:rPr>
        <w:t>2.</w:t>
      </w:r>
      <w:r w:rsidRPr="002551CA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compenso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sarà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proporzionalmente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rimborsato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previa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deduzione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delle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spese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amministrative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, nel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cui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sito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venga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prenotato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da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terzo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su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indicazione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vacanziere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e con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consenso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scritto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dell'imprenditore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per lo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stesso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periodo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parte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2551CA">
        <w:rPr>
          <w:rFonts w:ascii="TradeGothicLTStd-Bd2" w:hAnsi="TradeGothicLTStd-Bd2" w:cs="TradeGothicLTStd-Bd2"/>
          <w:sz w:val="16"/>
          <w:szCs w:val="16"/>
        </w:rPr>
        <w:t>esso</w:t>
      </w:r>
      <w:proofErr w:type="spellEnd"/>
      <w:r w:rsidRPr="002551CA">
        <w:rPr>
          <w:rFonts w:ascii="TradeGothicLTStd-Bd2" w:hAnsi="TradeGothicLTStd-Bd2" w:cs="TradeGothicLTStd-Bd2"/>
          <w:sz w:val="16"/>
          <w:szCs w:val="16"/>
        </w:rPr>
        <w:t>.</w:t>
      </w:r>
    </w:p>
    <w:p w14:paraId="632EEE52" w14:textId="77777777" w:rsidR="002551CA" w:rsidRPr="002551CA" w:rsidRDefault="002551CA" w:rsidP="002551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6BA5C3B2" w14:textId="77777777" w:rsidR="000F0966" w:rsidRPr="000F0966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515161B3" w14:textId="77777777" w:rsidR="000F0966" w:rsidRPr="00E36F72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Articolo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7: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Utilizzo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da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parte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terzi</w:t>
      </w:r>
      <w:proofErr w:type="spellEnd"/>
    </w:p>
    <w:p w14:paraId="28683DE9" w14:textId="2AD7BF9B" w:rsidR="000F0966" w:rsidRPr="000F0966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0F0966">
        <w:rPr>
          <w:rFonts w:ascii="TradeGothicLTStd-Bd2" w:hAnsi="TradeGothicLTStd-Bd2" w:cs="TradeGothicLTStd-Bd2"/>
          <w:sz w:val="16"/>
          <w:szCs w:val="16"/>
        </w:rPr>
        <w:t>1.</w:t>
      </w:r>
      <w:r w:rsidRPr="000F0966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L'utilizzo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dell'alloggio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da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parte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terzi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consentito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solo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previa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autorizzazione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scritta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dell'imprenditore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>.</w:t>
      </w:r>
    </w:p>
    <w:p w14:paraId="7C471367" w14:textId="77777777" w:rsidR="000F0966" w:rsidRPr="000F0966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0F0966">
        <w:rPr>
          <w:rFonts w:ascii="TradeGothicLTStd-Bd2" w:hAnsi="TradeGothicLTStd-Bd2" w:cs="TradeGothicLTStd-Bd2"/>
          <w:sz w:val="16"/>
          <w:szCs w:val="16"/>
        </w:rPr>
        <w:t>2.</w:t>
      </w:r>
      <w:r w:rsidRPr="000F0966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consenso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dato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può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essere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soggetto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condizioni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devono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essere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preventivamente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stabilite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iscritto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>.</w:t>
      </w:r>
    </w:p>
    <w:p w14:paraId="4DC045B0" w14:textId="77777777" w:rsidR="000F0966" w:rsidRPr="00E36F72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</w:p>
    <w:p w14:paraId="643E40BC" w14:textId="77777777" w:rsidR="000F0966" w:rsidRPr="00E36F72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Articolo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8: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Partenza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anticipata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del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vacanziere</w:t>
      </w:r>
      <w:proofErr w:type="spellEnd"/>
    </w:p>
    <w:p w14:paraId="4346574B" w14:textId="77777777" w:rsidR="000F0966" w:rsidRPr="000F0966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deve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l'intero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prezzo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periodo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vacanza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0F0966">
        <w:rPr>
          <w:rFonts w:ascii="TradeGothicLTStd-Bd2" w:hAnsi="TradeGothicLTStd-Bd2" w:cs="TradeGothicLTStd-Bd2"/>
          <w:sz w:val="16"/>
          <w:szCs w:val="16"/>
        </w:rPr>
        <w:t>concordato</w:t>
      </w:r>
      <w:proofErr w:type="spellEnd"/>
      <w:r w:rsidRPr="000F0966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7C8FC0C5" w14:textId="77777777" w:rsidR="000F0966" w:rsidRPr="000F0966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7374B0DD" w14:textId="3606A69F" w:rsidR="000F0966" w:rsidRPr="000F0966" w:rsidRDefault="000F0966" w:rsidP="000F09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lastRenderedPageBreak/>
        <w:t>Articolo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9: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Recesso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anticipato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da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parte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dell'imprenditore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e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sfratto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in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caso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di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carenza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imputabile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e/o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atto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illecito</w:t>
      </w:r>
      <w:proofErr w:type="spellEnd"/>
    </w:p>
    <w:p w14:paraId="2BB3787D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1.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può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recedere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dal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contratto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con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effetto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immediato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: </w:t>
      </w:r>
    </w:p>
    <w:p w14:paraId="1F222E60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a.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  <w:t xml:space="preserve">Nel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cui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gli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altri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e/o 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terzi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osservino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o non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rispettino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adeguatamente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gli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obblighi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previsti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dal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contratto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informazioni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ad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esso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relative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e/o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norme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governative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nonostante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preavviso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scritto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e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misura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tale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secondo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criteri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ragionevolezza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correttezza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possa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essere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tenuto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continuare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contratto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>;</w:t>
      </w:r>
    </w:p>
    <w:p w14:paraId="7D59DFFB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b.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  <w:t xml:space="preserve">Se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nonostante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l'avvertimento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scritto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arreca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disturbo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all'imprenditore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e/o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agli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altri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rovina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buona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atmosfera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sul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terreno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nelle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sue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immediate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vicinanze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>;</w:t>
      </w:r>
    </w:p>
    <w:p w14:paraId="7BF2887B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c.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  <w:t xml:space="preserve">Nel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cui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nonostante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l'avvertimento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scritto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agisca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modo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contrario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alla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destinazione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terreno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utilizzando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residenza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>.</w:t>
      </w:r>
    </w:p>
    <w:p w14:paraId="226AD0E5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2.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  <w:t xml:space="preserve">Nel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cui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desideri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una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risoluzione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anticipata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 lo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sfratto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deve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informare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con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una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lettera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consegnata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personalmente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.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Tale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lettera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deve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indicare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possibilità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sottoporre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controversia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alla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Commissione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controversie.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L'avvertimento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scritto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può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essere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omesso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casi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urgenti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>.</w:t>
      </w:r>
    </w:p>
    <w:p w14:paraId="76DC9E8E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3.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Dopo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disdetta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deve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provvedere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liberare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l'abitazione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vacanza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lasciare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terreno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prima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possibile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ma non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oltre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4 ore. </w:t>
      </w:r>
    </w:p>
    <w:p w14:paraId="08BBA4BA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4.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resta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linea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principio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obbligato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pagare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tariffa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concordata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21AB1FDB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37655944" w14:textId="77777777" w:rsidR="0076559E" w:rsidRPr="00E36F72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</w:p>
    <w:p w14:paraId="461E65C3" w14:textId="77777777" w:rsidR="0076559E" w:rsidRPr="00E36F72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Articolo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10: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Leggi</w:t>
      </w:r>
      <w:proofErr w:type="spellEnd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e </w:t>
      </w:r>
      <w:proofErr w:type="spellStart"/>
      <w:r w:rsidRPr="00E36F72">
        <w:rPr>
          <w:rFonts w:ascii="TradeGothicLTStd-Bd2" w:hAnsi="TradeGothicLTStd-Bd2" w:cs="TradeGothicLTStd-Bd2"/>
          <w:b/>
          <w:bCs/>
          <w:sz w:val="16"/>
          <w:szCs w:val="16"/>
        </w:rPr>
        <w:t>regolamenti</w:t>
      </w:r>
      <w:proofErr w:type="spellEnd"/>
    </w:p>
    <w:p w14:paraId="1732BE70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1.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deve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sempre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garantire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struttura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ricettiva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internamente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esternamente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conforme a tutti 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requisiti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ambientali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sicurezza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governo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impone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può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imporre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alla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struttura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ricettiva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10C084F0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2.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tenuto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rispettare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rigorosamente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tutte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norme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sicurezza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vigore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nel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.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Dovrà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inoltre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fare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modo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compagni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vacanza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e/o 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terzi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visitano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e/o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soggiornano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presso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lui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osservino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rigorosamente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norme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sicurezza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vigore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sul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>.</w:t>
      </w:r>
    </w:p>
    <w:p w14:paraId="44B8B225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7C970FCD" w14:textId="77777777" w:rsidR="0076559E" w:rsidRPr="00856076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856076">
        <w:rPr>
          <w:rFonts w:ascii="TradeGothicLTStd-Bd2" w:hAnsi="TradeGothicLTStd-Bd2" w:cs="TradeGothicLTStd-Bd2"/>
          <w:b/>
          <w:bCs/>
          <w:sz w:val="16"/>
          <w:szCs w:val="16"/>
        </w:rPr>
        <w:t>Articolo</w:t>
      </w:r>
      <w:proofErr w:type="spellEnd"/>
      <w:r w:rsidRPr="00856076">
        <w:rPr>
          <w:rFonts w:ascii="TradeGothicLTStd-Bd2" w:hAnsi="TradeGothicLTStd-Bd2" w:cs="TradeGothicLTStd-Bd2"/>
          <w:b/>
          <w:bCs/>
          <w:sz w:val="16"/>
          <w:szCs w:val="16"/>
        </w:rPr>
        <w:t xml:space="preserve"> 11: </w:t>
      </w:r>
      <w:proofErr w:type="spellStart"/>
      <w:r w:rsidRPr="00856076">
        <w:rPr>
          <w:rFonts w:ascii="TradeGothicLTStd-Bd2" w:hAnsi="TradeGothicLTStd-Bd2" w:cs="TradeGothicLTStd-Bd2"/>
          <w:b/>
          <w:bCs/>
          <w:sz w:val="16"/>
          <w:szCs w:val="16"/>
        </w:rPr>
        <w:t>Manutenzione</w:t>
      </w:r>
      <w:proofErr w:type="spellEnd"/>
      <w:r w:rsidRPr="00856076">
        <w:rPr>
          <w:rFonts w:ascii="TradeGothicLTStd-Bd2" w:hAnsi="TradeGothicLTStd-Bd2" w:cs="TradeGothicLTStd-Bd2"/>
          <w:b/>
          <w:bCs/>
          <w:sz w:val="16"/>
          <w:szCs w:val="16"/>
        </w:rPr>
        <w:t xml:space="preserve"> e </w:t>
      </w:r>
      <w:proofErr w:type="spellStart"/>
      <w:r w:rsidRPr="00856076">
        <w:rPr>
          <w:rFonts w:ascii="TradeGothicLTStd-Bd2" w:hAnsi="TradeGothicLTStd-Bd2" w:cs="TradeGothicLTStd-Bd2"/>
          <w:b/>
          <w:bCs/>
          <w:sz w:val="16"/>
          <w:szCs w:val="16"/>
        </w:rPr>
        <w:t>costruzione</w:t>
      </w:r>
      <w:proofErr w:type="spellEnd"/>
    </w:p>
    <w:p w14:paraId="4A462DEC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1.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tenuto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mantenere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buono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stato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manutenzione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parco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ricreativo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strutture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centrali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015C99B8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2.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tenuto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mantenere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residenza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vacanze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sue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immediate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vicinanze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durante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durata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contratto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nello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stesso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stato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cui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l'ha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ricevuta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5881D94C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3.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gli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altri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e/o 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terzi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possono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scavare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nel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terreno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abbattere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alberi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tagliare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cespugli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svolgere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qualsiasi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altra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attività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natura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simile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087A0DF5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571E9C0D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4C558D8B" w14:textId="77777777" w:rsidR="0076559E" w:rsidRPr="00856076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856076">
        <w:rPr>
          <w:rFonts w:ascii="TradeGothicLTStd-Bd2" w:hAnsi="TradeGothicLTStd-Bd2" w:cs="TradeGothicLTStd-Bd2"/>
          <w:b/>
          <w:bCs/>
          <w:sz w:val="16"/>
          <w:szCs w:val="16"/>
        </w:rPr>
        <w:t>Articolo</w:t>
      </w:r>
      <w:proofErr w:type="spellEnd"/>
      <w:r w:rsidRPr="00856076">
        <w:rPr>
          <w:rFonts w:ascii="TradeGothicLTStd-Bd2" w:hAnsi="TradeGothicLTStd-Bd2" w:cs="TradeGothicLTStd-Bd2"/>
          <w:b/>
          <w:bCs/>
          <w:sz w:val="16"/>
          <w:szCs w:val="16"/>
        </w:rPr>
        <w:t xml:space="preserve"> 12: </w:t>
      </w:r>
      <w:proofErr w:type="spellStart"/>
      <w:r w:rsidRPr="00856076">
        <w:rPr>
          <w:rFonts w:ascii="TradeGothicLTStd-Bd2" w:hAnsi="TradeGothicLTStd-Bd2" w:cs="TradeGothicLTStd-Bd2"/>
          <w:b/>
          <w:bCs/>
          <w:sz w:val="16"/>
          <w:szCs w:val="16"/>
        </w:rPr>
        <w:t>Responsabilità</w:t>
      </w:r>
      <w:proofErr w:type="spellEnd"/>
    </w:p>
    <w:p w14:paraId="0923D9C7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1.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  <w:t xml:space="preserve">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responsabilità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legale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dell'imprenditore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danni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diversi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lesioni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personali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e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morte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limitata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massimo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455.000 euro per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evento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.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tenuto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stipulare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un'assicurazione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 tal fine.</w:t>
      </w:r>
    </w:p>
    <w:p w14:paraId="3F665753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2.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non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responsabile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per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incidente,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furto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danno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nei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suoi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locali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a meno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sia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risultato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una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mancanza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attribuibile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all'imprenditore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>.</w:t>
      </w:r>
    </w:p>
    <w:p w14:paraId="5430CF30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3.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non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responsabile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delle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conseguenze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condizioni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meteorologiche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estreme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o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altre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forme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forza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maggiore.</w:t>
      </w:r>
    </w:p>
    <w:p w14:paraId="6F893B94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4.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responsabile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per 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guasti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alle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utenze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a meno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che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non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possa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invocare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forza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maggiore.</w:t>
      </w:r>
    </w:p>
    <w:p w14:paraId="7EBF801E" w14:textId="77777777" w:rsidR="0076559E" w:rsidRPr="0076559E" w:rsidRDefault="0076559E" w:rsidP="007655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76559E">
        <w:rPr>
          <w:rFonts w:ascii="TradeGothicLTStd-Bd2" w:hAnsi="TradeGothicLTStd-Bd2" w:cs="TradeGothicLTStd-Bd2"/>
          <w:sz w:val="16"/>
          <w:szCs w:val="16"/>
        </w:rPr>
        <w:t>5.</w:t>
      </w:r>
      <w:r w:rsidRPr="0076559E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Il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è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responsabile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nei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confronti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dell'imprenditore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per 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danni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causati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da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azioni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omissioni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proprie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del/i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comproprietario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/i e/o di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terzi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nella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misura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in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cui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si </w:t>
      </w:r>
      <w:proofErr w:type="spellStart"/>
      <w:r w:rsidRPr="0076559E">
        <w:rPr>
          <w:rFonts w:ascii="TradeGothicLTStd-Bd2" w:hAnsi="TradeGothicLTStd-Bd2" w:cs="TradeGothicLTStd-Bd2"/>
          <w:sz w:val="16"/>
          <w:szCs w:val="16"/>
        </w:rPr>
        <w:t>tratti</w:t>
      </w:r>
      <w:proofErr w:type="spellEnd"/>
      <w:r w:rsidRPr="0076559E">
        <w:rPr>
          <w:rFonts w:ascii="TradeGothicLTStd-Bd2" w:hAnsi="TradeGothicLTStd-Bd2" w:cs="TradeGothicLTStd-Bd2"/>
          <w:sz w:val="16"/>
          <w:szCs w:val="16"/>
        </w:rPr>
        <w:t xml:space="preserve"> di </w:t>
      </w:r>
    </w:p>
    <w:p w14:paraId="54DFF4E8" w14:textId="77777777" w:rsidR="005D622B" w:rsidRPr="005D622B" w:rsidRDefault="005D622B" w:rsidP="00856076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sz w:val="16"/>
          <w:szCs w:val="16"/>
        </w:rPr>
      </w:pP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danni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imputabili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agli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altri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villeggianti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e/o a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terzi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>.</w:t>
      </w:r>
    </w:p>
    <w:p w14:paraId="2EC349EA" w14:textId="77777777" w:rsidR="005D622B" w:rsidRPr="005D622B" w:rsidRDefault="005D622B" w:rsidP="005D622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5D622B">
        <w:rPr>
          <w:rFonts w:ascii="TradeGothicLTStd-Bd2" w:hAnsi="TradeGothicLTStd-Bd2" w:cs="TradeGothicLTStd-Bd2"/>
          <w:sz w:val="16"/>
          <w:szCs w:val="16"/>
        </w:rPr>
        <w:t>6.</w:t>
      </w:r>
      <w:r w:rsidRPr="005D622B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L'imprenditore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si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impegna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ad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adottare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misure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adeguate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dopo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notifica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da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parte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villeggiante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di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disturbo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causato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da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altri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5D622B">
        <w:rPr>
          <w:rFonts w:ascii="TradeGothicLTStd-Bd2" w:hAnsi="TradeGothicLTStd-Bd2" w:cs="TradeGothicLTStd-Bd2"/>
          <w:sz w:val="16"/>
          <w:szCs w:val="16"/>
        </w:rPr>
        <w:t>villeggianti</w:t>
      </w:r>
      <w:proofErr w:type="spellEnd"/>
      <w:r w:rsidRPr="005D622B">
        <w:rPr>
          <w:rFonts w:ascii="TradeGothicLTStd-Bd2" w:hAnsi="TradeGothicLTStd-Bd2" w:cs="TradeGothicLTStd-Bd2"/>
          <w:sz w:val="16"/>
          <w:szCs w:val="16"/>
        </w:rPr>
        <w:t>.</w:t>
      </w:r>
    </w:p>
    <w:p w14:paraId="14F7637D" w14:textId="77777777" w:rsidR="005D622B" w:rsidRPr="005D622B" w:rsidRDefault="005D622B" w:rsidP="005D622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3E5F5421" w14:textId="77777777" w:rsidR="00960D62" w:rsidRPr="004F1FEC" w:rsidRDefault="00960D62" w:rsidP="00960D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6A2B5033" w14:textId="77777777" w:rsidR="00960D62" w:rsidRDefault="00960D62" w:rsidP="00960D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1AB0A90B" w14:textId="77777777" w:rsidR="00960D62" w:rsidRDefault="00960D62" w:rsidP="00960D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341D1947" w14:textId="77777777" w:rsidR="00F96F3A" w:rsidRPr="00F96F3A" w:rsidRDefault="00F96F3A" w:rsidP="00856076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F96F3A">
        <w:rPr>
          <w:rFonts w:ascii="TradeGothicLTStd-Bd2" w:hAnsi="TradeGothicLTStd-Bd2" w:cs="TradeGothicLTStd-Bd2"/>
          <w:b/>
          <w:sz w:val="16"/>
          <w:szCs w:val="16"/>
        </w:rPr>
        <w:t>Articolo</w:t>
      </w:r>
      <w:proofErr w:type="spellEnd"/>
      <w:r w:rsidRPr="00F96F3A">
        <w:rPr>
          <w:rFonts w:ascii="TradeGothicLTStd-Bd2" w:hAnsi="TradeGothicLTStd-Bd2" w:cs="TradeGothicLTStd-Bd2"/>
          <w:b/>
          <w:sz w:val="16"/>
          <w:szCs w:val="16"/>
        </w:rPr>
        <w:t xml:space="preserve"> 13: </w:t>
      </w:r>
      <w:proofErr w:type="spellStart"/>
      <w:r w:rsidRPr="00F96F3A">
        <w:rPr>
          <w:rFonts w:ascii="TradeGothicLTStd-Bd2" w:hAnsi="TradeGothicLTStd-Bd2" w:cs="TradeGothicLTStd-Bd2"/>
          <w:b/>
          <w:sz w:val="16"/>
          <w:szCs w:val="16"/>
        </w:rPr>
        <w:t>Risoluzione</w:t>
      </w:r>
      <w:proofErr w:type="spellEnd"/>
      <w:r w:rsidRPr="00F96F3A">
        <w:rPr>
          <w:rFonts w:ascii="TradeGothicLTStd-Bd2" w:hAnsi="TradeGothicLTStd-Bd2" w:cs="TradeGothicLTStd-Bd2"/>
          <w:b/>
          <w:sz w:val="16"/>
          <w:szCs w:val="16"/>
        </w:rPr>
        <w:t xml:space="preserve"> </w:t>
      </w:r>
      <w:proofErr w:type="spellStart"/>
      <w:r w:rsidRPr="00F96F3A">
        <w:rPr>
          <w:rFonts w:ascii="TradeGothicLTStd-Bd2" w:hAnsi="TradeGothicLTStd-Bd2" w:cs="TradeGothicLTStd-Bd2"/>
          <w:b/>
          <w:sz w:val="16"/>
          <w:szCs w:val="16"/>
        </w:rPr>
        <w:t>delle</w:t>
      </w:r>
      <w:proofErr w:type="spellEnd"/>
      <w:r w:rsidRPr="00F96F3A">
        <w:rPr>
          <w:rFonts w:ascii="TradeGothicLTStd-Bd2" w:hAnsi="TradeGothicLTStd-Bd2" w:cs="TradeGothicLTStd-Bd2"/>
          <w:b/>
          <w:sz w:val="16"/>
          <w:szCs w:val="16"/>
        </w:rPr>
        <w:t xml:space="preserve"> controversie</w:t>
      </w:r>
    </w:p>
    <w:p w14:paraId="5B5F89B7" w14:textId="77777777" w:rsidR="00F96F3A" w:rsidRPr="00856076" w:rsidRDefault="00F96F3A" w:rsidP="00F96F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1.  </w:t>
      </w:r>
      <w:r w:rsidRPr="00856076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e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sono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vincolati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dalle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decisioni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della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Commissione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controversie.</w:t>
      </w:r>
    </w:p>
    <w:p w14:paraId="7B3311E9" w14:textId="77777777" w:rsidR="00F96F3A" w:rsidRPr="00856076" w:rsidRDefault="00F96F3A" w:rsidP="00F96F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856076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856076">
        <w:rPr>
          <w:rFonts w:ascii="TradeGothicLTStd-Bd2" w:hAnsi="TradeGothicLTStd-Bd2" w:cs="TradeGothicLTStd-Bd2"/>
          <w:bCs/>
          <w:sz w:val="16"/>
          <w:szCs w:val="16"/>
        </w:rPr>
        <w:tab/>
        <w:t xml:space="preserve">Per tutte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relative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si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applica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diritto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olandese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. Solo 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Commissione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 o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tribunale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olandese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sono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competenti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conoscere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tali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controversie. </w:t>
      </w:r>
    </w:p>
    <w:p w14:paraId="71430F14" w14:textId="77777777" w:rsidR="00F96F3A" w:rsidRPr="00856076" w:rsidRDefault="00F96F3A" w:rsidP="00F96F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856076">
        <w:rPr>
          <w:rFonts w:ascii="TradeGothicLTStd-Bd2" w:hAnsi="TradeGothicLTStd-Bd2" w:cs="TradeGothicLTStd-Bd2"/>
          <w:bCs/>
          <w:sz w:val="16"/>
          <w:szCs w:val="16"/>
        </w:rPr>
        <w:t>3.</w:t>
      </w:r>
      <w:r w:rsidRPr="00856076">
        <w:rPr>
          <w:rFonts w:ascii="TradeGothicLTStd-Bd2" w:hAnsi="TradeGothicLTStd-Bd2" w:cs="TradeGothicLTStd-Bd2"/>
          <w:bCs/>
          <w:sz w:val="16"/>
          <w:szCs w:val="16"/>
        </w:rPr>
        <w:tab/>
        <w:t xml:space="preserve">In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controversia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sulla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conclusione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sull'esecuzione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del presente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contratto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, 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controversia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deve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essere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presentata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all'imprenditore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iscritto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o in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un'altra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forma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stabilita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dalla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Commissione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entro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12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mesi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dalla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data in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vacanziere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ha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presentato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reclamo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all'imprenditore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</w:p>
    <w:p w14:paraId="34A660C9" w14:textId="77777777" w:rsidR="00F96F3A" w:rsidRPr="00856076" w:rsidRDefault="00F96F3A" w:rsidP="00856076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Cs/>
          <w:sz w:val="16"/>
          <w:szCs w:val="16"/>
        </w:rPr>
      </w:pPr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Nel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voglia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portare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controversia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davanti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alla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Commissione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controversie,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deve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chiedere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esprimersi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entro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cinque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settimane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se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vuole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o meno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rivolgersi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alla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Commissione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controversie.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deve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quindi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annunciare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che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si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riterrà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libero di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portare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controversia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davanti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tribunale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volta trascorso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periodo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suddetto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</w:p>
    <w:p w14:paraId="36ADF772" w14:textId="044988BD" w:rsidR="00A41584" w:rsidRPr="00A41584" w:rsidRDefault="00F96F3A" w:rsidP="00311A59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Nei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luoghi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condizioni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parlano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Commissione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controversie, 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controversia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può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essere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sottoposta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tribunale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. Nel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vacanziere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abbia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sottoposto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controversia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alla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Commissione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controversie,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sarà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vincolato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da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questa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856076">
        <w:rPr>
          <w:rFonts w:ascii="TradeGothicLTStd-Bd2" w:hAnsi="TradeGothicLTStd-Bd2" w:cs="TradeGothicLTStd-Bd2"/>
          <w:bCs/>
          <w:sz w:val="16"/>
          <w:szCs w:val="16"/>
        </w:rPr>
        <w:t>scelta</w:t>
      </w:r>
      <w:proofErr w:type="spellEnd"/>
      <w:r w:rsidRPr="00856076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4AFAACF3" w14:textId="77777777" w:rsidR="00A41584" w:rsidRPr="00311A59" w:rsidRDefault="00A41584" w:rsidP="00A4158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311A59">
        <w:rPr>
          <w:rFonts w:ascii="TradeGothicLTStd-Bd2" w:hAnsi="TradeGothicLTStd-Bd2" w:cs="TradeGothicLTStd-Bd2"/>
          <w:bCs/>
          <w:sz w:val="16"/>
          <w:szCs w:val="16"/>
        </w:rPr>
        <w:t>4.</w:t>
      </w:r>
      <w:r w:rsidRPr="00311A59">
        <w:rPr>
          <w:rFonts w:ascii="TradeGothicLTStd-Bd2" w:hAnsi="TradeGothicLTStd-Bd2" w:cs="TradeGothicLTStd-Bd2"/>
          <w:bCs/>
          <w:sz w:val="16"/>
          <w:szCs w:val="16"/>
        </w:rPr>
        <w:tab/>
        <w:t xml:space="preserve">Per la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gestione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delle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controversie, si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rimanda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Regolamento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Comitato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controversie in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materia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ricreazione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Comitato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controversie non è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autorizzato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trattare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controversia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relativa a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malattia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infortunio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morte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o al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mancato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pagamento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fattura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su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non si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basa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reclamo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sostanziale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2F11BB3" w14:textId="3C1A5F6D" w:rsidR="00960D62" w:rsidRPr="004F1FEC" w:rsidRDefault="00A41584" w:rsidP="00960D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311A59">
        <w:rPr>
          <w:rFonts w:ascii="TradeGothicLTStd-Bd2" w:hAnsi="TradeGothicLTStd-Bd2" w:cs="TradeGothicLTStd-Bd2"/>
          <w:bCs/>
          <w:sz w:val="16"/>
          <w:szCs w:val="16"/>
        </w:rPr>
        <w:t>5.</w:t>
      </w:r>
      <w:r w:rsidRPr="00311A59">
        <w:rPr>
          <w:rFonts w:ascii="TradeGothicLTStd-Bd2" w:hAnsi="TradeGothicLTStd-Bd2" w:cs="TradeGothicLTStd-Bd2"/>
          <w:bCs/>
          <w:sz w:val="16"/>
          <w:szCs w:val="16"/>
        </w:rPr>
        <w:tab/>
        <w:t xml:space="preserve">Per la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gestione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controversia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è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previsto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pagamento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tassa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46C06670" w14:textId="77777777" w:rsidR="00960D62" w:rsidRPr="004F1FEC" w:rsidRDefault="00960D62" w:rsidP="00960D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1499EEFC" w14:textId="77777777" w:rsidR="00A41584" w:rsidRPr="00A41584" w:rsidRDefault="00A41584" w:rsidP="00A41584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A41584">
        <w:rPr>
          <w:rFonts w:ascii="TradeGothicLTStd-Bd2" w:hAnsi="TradeGothicLTStd-Bd2" w:cs="TradeGothicLTStd-Bd2"/>
          <w:b/>
          <w:sz w:val="16"/>
          <w:szCs w:val="16"/>
        </w:rPr>
        <w:t>Articolo</w:t>
      </w:r>
      <w:proofErr w:type="spellEnd"/>
      <w:r w:rsidRPr="00A41584">
        <w:rPr>
          <w:rFonts w:ascii="TradeGothicLTStd-Bd2" w:hAnsi="TradeGothicLTStd-Bd2" w:cs="TradeGothicLTStd-Bd2"/>
          <w:b/>
          <w:sz w:val="16"/>
          <w:szCs w:val="16"/>
        </w:rPr>
        <w:t xml:space="preserve"> 14: </w:t>
      </w:r>
      <w:proofErr w:type="spellStart"/>
      <w:r w:rsidRPr="00A41584">
        <w:rPr>
          <w:rFonts w:ascii="TradeGothicLTStd-Bd2" w:hAnsi="TradeGothicLTStd-Bd2" w:cs="TradeGothicLTStd-Bd2"/>
          <w:b/>
          <w:sz w:val="16"/>
          <w:szCs w:val="16"/>
        </w:rPr>
        <w:t>Garanzia</w:t>
      </w:r>
      <w:proofErr w:type="spellEnd"/>
      <w:r w:rsidRPr="00A41584">
        <w:rPr>
          <w:rFonts w:ascii="TradeGothicLTStd-Bd2" w:hAnsi="TradeGothicLTStd-Bd2" w:cs="TradeGothicLTStd-Bd2"/>
          <w:b/>
          <w:sz w:val="16"/>
          <w:szCs w:val="16"/>
        </w:rPr>
        <w:t xml:space="preserve"> di </w:t>
      </w:r>
      <w:proofErr w:type="spellStart"/>
      <w:r w:rsidRPr="00A41584">
        <w:rPr>
          <w:rFonts w:ascii="TradeGothicLTStd-Bd2" w:hAnsi="TradeGothicLTStd-Bd2" w:cs="TradeGothicLTStd-Bd2"/>
          <w:b/>
          <w:sz w:val="16"/>
          <w:szCs w:val="16"/>
        </w:rPr>
        <w:t>prestazione</w:t>
      </w:r>
      <w:proofErr w:type="spellEnd"/>
    </w:p>
    <w:p w14:paraId="7071EC58" w14:textId="30ECCFED" w:rsidR="00A41584" w:rsidRPr="00311A59" w:rsidRDefault="00191075" w:rsidP="00A41584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>
        <w:rPr>
          <w:rFonts w:ascii="TradeGothicLTStd-Bd2" w:hAnsi="TradeGothicLTStd-Bd2" w:cs="TradeGothicLTStd-Bd2"/>
          <w:bCs/>
          <w:sz w:val="16"/>
          <w:szCs w:val="16"/>
        </w:rPr>
        <w:t xml:space="preserve">1. </w:t>
      </w:r>
      <w:r>
        <w:rPr>
          <w:rFonts w:ascii="TradeGothicLTStd-Bd2" w:hAnsi="TradeGothicLTStd-Bd2" w:cs="TradeGothicLTStd-Bd2"/>
          <w:bCs/>
          <w:sz w:val="16"/>
          <w:szCs w:val="16"/>
        </w:rPr>
        <w:tab/>
      </w:r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L'HISWA RECRON si fa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carico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degli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obblighi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membro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dell'HISWA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RECRON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nei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confronti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imposti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dal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Comitato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controversie in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parere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vincolante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, alle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condizioni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concordate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tra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l'HISWA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RECRON e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Comitato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controversie dei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consumatori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(Stichting Geschillencommissie voor Consumentenzaken), nel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cui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l'imprenditore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in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questione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non li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abbia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rispettati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entro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termine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stabilito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nel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parere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vincolante</w:t>
      </w:r>
      <w:proofErr w:type="spellEnd"/>
      <w:r w:rsidR="00A41584" w:rsidRPr="00311A59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5D84F204" w14:textId="77777777" w:rsidR="00A41584" w:rsidRPr="00311A59" w:rsidRDefault="00A41584" w:rsidP="00A41584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311A59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311A59">
        <w:rPr>
          <w:rFonts w:ascii="TradeGothicLTStd-Bd2" w:hAnsi="TradeGothicLTStd-Bd2" w:cs="TradeGothicLTStd-Bd2"/>
          <w:bCs/>
          <w:sz w:val="16"/>
          <w:szCs w:val="16"/>
        </w:rPr>
        <w:tab/>
        <w:t xml:space="preserve">Se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titolare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ha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presentato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parere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vincolante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tribunale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civile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per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riesame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entro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due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mesi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dalla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sua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data,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l'osservanza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parere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vincolante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è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sospesa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fino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alla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decisione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tribunale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civile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>. 3.</w:t>
      </w:r>
      <w:r w:rsidRPr="00311A59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L'applicazione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della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garanzia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di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conformità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richiede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che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il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villeggiante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presenti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ricorso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311A59">
        <w:rPr>
          <w:rFonts w:ascii="TradeGothicLTStd-Bd2" w:hAnsi="TradeGothicLTStd-Bd2" w:cs="TradeGothicLTStd-Bd2"/>
          <w:bCs/>
          <w:sz w:val="16"/>
          <w:szCs w:val="16"/>
        </w:rPr>
        <w:t>scritto</w:t>
      </w:r>
      <w:proofErr w:type="spellEnd"/>
      <w:r w:rsidRPr="00311A59">
        <w:rPr>
          <w:rFonts w:ascii="TradeGothicLTStd-Bd2" w:hAnsi="TradeGothicLTStd-Bd2" w:cs="TradeGothicLTStd-Bd2"/>
          <w:bCs/>
          <w:sz w:val="16"/>
          <w:szCs w:val="16"/>
        </w:rPr>
        <w:t xml:space="preserve"> a HISWA RECRON.</w:t>
      </w:r>
    </w:p>
    <w:p w14:paraId="50455BA5" w14:textId="77777777" w:rsidR="00A41584" w:rsidRPr="00A41584" w:rsidRDefault="00A41584" w:rsidP="00A41584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</w:p>
    <w:p w14:paraId="0FD99AC4" w14:textId="77777777" w:rsidR="00A41584" w:rsidRPr="00A41584" w:rsidRDefault="00A41584" w:rsidP="00A41584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A41584">
        <w:rPr>
          <w:rFonts w:ascii="TradeGothicLTStd-Bd2" w:hAnsi="TradeGothicLTStd-Bd2" w:cs="TradeGothicLTStd-Bd2"/>
          <w:b/>
          <w:sz w:val="16"/>
          <w:szCs w:val="16"/>
        </w:rPr>
        <w:t>Articolo</w:t>
      </w:r>
      <w:proofErr w:type="spellEnd"/>
      <w:r w:rsidRPr="00A41584">
        <w:rPr>
          <w:rFonts w:ascii="TradeGothicLTStd-Bd2" w:hAnsi="TradeGothicLTStd-Bd2" w:cs="TradeGothicLTStd-Bd2"/>
          <w:b/>
          <w:sz w:val="16"/>
          <w:szCs w:val="16"/>
        </w:rPr>
        <w:t xml:space="preserve"> 15: Modifiche</w:t>
      </w:r>
    </w:p>
    <w:p w14:paraId="2A13122B" w14:textId="77777777" w:rsidR="00A41584" w:rsidRPr="00191075" w:rsidRDefault="00A41584" w:rsidP="00A41584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Cs/>
          <w:sz w:val="16"/>
          <w:szCs w:val="16"/>
        </w:rPr>
      </w:pPr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Le modifiche ai Termini e alle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Condizioni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HISWA RECRON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possono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essere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apportate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solo in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consultazione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con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organizzazioni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dei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consumatori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, in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questo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rappresentate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da ANWB e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dall'Associazione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 xml:space="preserve"> dei </w:t>
      </w:r>
      <w:proofErr w:type="spellStart"/>
      <w:r w:rsidRPr="00191075">
        <w:rPr>
          <w:rFonts w:ascii="TradeGothicLTStd-Bd2" w:hAnsi="TradeGothicLTStd-Bd2" w:cs="TradeGothicLTStd-Bd2"/>
          <w:bCs/>
          <w:sz w:val="16"/>
          <w:szCs w:val="16"/>
        </w:rPr>
        <w:t>consumatori</w:t>
      </w:r>
      <w:proofErr w:type="spellEnd"/>
      <w:r w:rsidRPr="00191075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38ACC19B" w14:textId="77777777" w:rsidR="00A41584" w:rsidRPr="00A41584" w:rsidRDefault="00A41584" w:rsidP="00A41584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</w:p>
    <w:p w14:paraId="2F70A89C" w14:textId="77777777" w:rsidR="00960D62" w:rsidRPr="002D78C1" w:rsidRDefault="00960D62" w:rsidP="00960D62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100140DE" w14:textId="77777777" w:rsidR="00960D62" w:rsidRDefault="00960D62" w:rsidP="00960D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086BA863" w14:textId="77777777" w:rsidR="00B00EDE" w:rsidRDefault="00B00EDE"/>
    <w:sectPr w:rsidR="00B00EDE" w:rsidSect="00773C25">
      <w:type w:val="continuous"/>
      <w:pgSz w:w="11906" w:h="16838"/>
      <w:pgMar w:top="1021" w:right="1077" w:bottom="794" w:left="1077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LTStd-Bd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62"/>
    <w:rsid w:val="000F0966"/>
    <w:rsid w:val="00191075"/>
    <w:rsid w:val="002551CA"/>
    <w:rsid w:val="00311A59"/>
    <w:rsid w:val="005D622B"/>
    <w:rsid w:val="0076559E"/>
    <w:rsid w:val="00814E79"/>
    <w:rsid w:val="00821236"/>
    <w:rsid w:val="00856076"/>
    <w:rsid w:val="00960D62"/>
    <w:rsid w:val="009C6559"/>
    <w:rsid w:val="00A41584"/>
    <w:rsid w:val="00B00EDE"/>
    <w:rsid w:val="00E36F72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715B"/>
  <w15:chartTrackingRefBased/>
  <w15:docId w15:val="{BE14E9EC-AA9E-4DF8-8D07-8518E154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0D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1949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Lips</dc:creator>
  <cp:keywords/>
  <dc:description/>
  <cp:lastModifiedBy>Arnoud Lips</cp:lastModifiedBy>
  <cp:revision>2</cp:revision>
  <dcterms:created xsi:type="dcterms:W3CDTF">2023-12-17T10:37:00Z</dcterms:created>
  <dcterms:modified xsi:type="dcterms:W3CDTF">2023-12-17T10:37:00Z</dcterms:modified>
</cp:coreProperties>
</file>